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 w:rsidR="0031289B">
        <w:rPr>
          <w:rFonts w:ascii="PT Astra Serif" w:hAnsi="PT Astra Serif"/>
          <w:i/>
          <w:sz w:val="28"/>
          <w:szCs w:val="28"/>
        </w:rPr>
        <w:t>.2025</w:t>
      </w:r>
    </w:p>
    <w:p w:rsidR="008854D2" w:rsidRPr="008854D2" w:rsidRDefault="008854D2" w:rsidP="00480085">
      <w:pPr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Default="00AE7393" w:rsidP="00480085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Перечень</w:t>
      </w:r>
      <w:r w:rsidRPr="00AE7393">
        <w:rPr>
          <w:rFonts w:ascii="PT Astra Serif" w:hAnsi="PT Astra Serif"/>
          <w:b/>
          <w:bCs/>
          <w:sz w:val="28"/>
          <w:szCs w:val="28"/>
        </w:rPr>
        <w:t xml:space="preserve"> поручений Президента Российской Федерации от 24.08.2022 </w:t>
      </w:r>
    </w:p>
    <w:p w:rsidR="008854D2" w:rsidRDefault="00AE7393" w:rsidP="00480085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AE7393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E7393">
        <w:rPr>
          <w:rFonts w:ascii="PT Astra Serif" w:hAnsi="PT Astra Serif"/>
          <w:b/>
          <w:bCs/>
          <w:sz w:val="28"/>
          <w:szCs w:val="28"/>
        </w:rPr>
        <w:t>21 июня 2022 г</w:t>
      </w:r>
    </w:p>
    <w:p w:rsidR="00AE7393" w:rsidRPr="00AE7393" w:rsidRDefault="00AE7393" w:rsidP="00480085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E7393" w:rsidRDefault="00AE7393" w:rsidP="00480085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B5528">
        <w:rPr>
          <w:rFonts w:ascii="PT Astra Serif" w:eastAsia="PT Astra Serif" w:hAnsi="PT Astra Serif" w:cs="PT Astra Serif"/>
          <w:sz w:val="28"/>
          <w:szCs w:val="28"/>
        </w:rPr>
        <w:t xml:space="preserve">По </w:t>
      </w:r>
      <w:r>
        <w:rPr>
          <w:rFonts w:ascii="PT Astra Serif" w:eastAsia="PT Astra Serif" w:hAnsi="PT Astra Serif" w:cs="PT Astra Serif"/>
          <w:sz w:val="28"/>
          <w:szCs w:val="28"/>
        </w:rPr>
        <w:t>под</w:t>
      </w:r>
      <w:r w:rsidRPr="004B5528">
        <w:rPr>
          <w:rFonts w:ascii="PT Astra Serif" w:eastAsia="PT Astra Serif" w:hAnsi="PT Astra Serif" w:cs="PT Astra Serif"/>
          <w:sz w:val="28"/>
          <w:szCs w:val="28"/>
        </w:rPr>
        <w:t>пункту б)</w:t>
      </w:r>
      <w:r w:rsidR="00981B1F" w:rsidRPr="00981B1F">
        <w:t xml:space="preserve"> </w:t>
      </w:r>
      <w:r w:rsidR="00CB73FA">
        <w:rPr>
          <w:rFonts w:ascii="PT Astra Serif" w:eastAsia="PT Astra Serif" w:hAnsi="PT Astra Serif" w:cs="PT Astra Serif"/>
          <w:sz w:val="28"/>
          <w:szCs w:val="28"/>
        </w:rPr>
        <w:t>пункта 2</w:t>
      </w:r>
      <w:r w:rsidRPr="004B5528">
        <w:rPr>
          <w:rFonts w:ascii="PT Astra Serif" w:eastAsia="PT Astra Serif" w:hAnsi="PT Astra Serif" w:cs="PT Astra Serif"/>
          <w:i/>
          <w:sz w:val="28"/>
          <w:szCs w:val="28"/>
        </w:rPr>
        <w:t xml:space="preserve"> «Провести инвентаризацию объектов незавершенного строительства, при строительстве которых были использованы средства бюджетов субъектов Российской Федерации, и по ее результатам принять решение о завершении строительства таких объектов или их ликвидации, </w:t>
      </w:r>
      <w:r>
        <w:rPr>
          <w:rFonts w:ascii="PT Astra Serif" w:eastAsia="PT Astra Serif" w:hAnsi="PT Astra Serif" w:cs="PT Astra Serif"/>
          <w:i/>
          <w:sz w:val="28"/>
          <w:szCs w:val="28"/>
        </w:rPr>
        <w:br/>
      </w:r>
      <w:r w:rsidRPr="004B5528">
        <w:rPr>
          <w:rFonts w:ascii="PT Astra Serif" w:eastAsia="PT Astra Serif" w:hAnsi="PT Astra Serif" w:cs="PT Astra Serif"/>
          <w:i/>
          <w:sz w:val="28"/>
          <w:szCs w:val="28"/>
        </w:rPr>
        <w:t>а также определить источники, объемы и условия финансирования таких мероприятий»</w:t>
      </w:r>
      <w:r>
        <w:rPr>
          <w:rFonts w:ascii="PT Astra Serif" w:eastAsia="PT Astra Serif" w:hAnsi="PT Astra Serif" w:cs="PT Astra Serif"/>
          <w:i/>
          <w:sz w:val="28"/>
          <w:szCs w:val="28"/>
        </w:rPr>
        <w:t>.</w:t>
      </w:r>
    </w:p>
    <w:p w:rsidR="00981B1F" w:rsidRPr="004B5528" w:rsidRDefault="00981B1F" w:rsidP="00480085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Ежегодно балансодержателями (и</w:t>
      </w:r>
      <w:r>
        <w:rPr>
          <w:rFonts w:ascii="PT Astra Serif" w:hAnsi="PT Astra Serif" w:cs="PT Astra Serif"/>
          <w:sz w:val="28"/>
          <w:szCs w:val="28"/>
        </w:rPr>
        <w:t xml:space="preserve">сполнительными органами Томской </w:t>
      </w:r>
      <w:r w:rsidRPr="0031289B">
        <w:rPr>
          <w:rFonts w:ascii="PT Astra Serif" w:hAnsi="PT Astra Serif" w:cs="PT Astra Serif"/>
          <w:sz w:val="28"/>
          <w:szCs w:val="28"/>
        </w:rPr>
        <w:t>области, муниципальными образован</w:t>
      </w:r>
      <w:r>
        <w:rPr>
          <w:rFonts w:ascii="PT Astra Serif" w:hAnsi="PT Astra Serif" w:cs="PT Astra Serif"/>
          <w:sz w:val="28"/>
          <w:szCs w:val="28"/>
        </w:rPr>
        <w:t xml:space="preserve">иями) проводится инвентаризация </w:t>
      </w:r>
      <w:r w:rsidRPr="0031289B">
        <w:rPr>
          <w:rFonts w:ascii="PT Astra Serif" w:hAnsi="PT Astra Serif" w:cs="PT Astra Serif"/>
          <w:sz w:val="28"/>
          <w:szCs w:val="28"/>
        </w:rPr>
        <w:t>объектов незавершенного строительства, при с</w:t>
      </w:r>
      <w:r>
        <w:rPr>
          <w:rFonts w:ascii="PT Astra Serif" w:hAnsi="PT Astra Serif" w:cs="PT Astra Serif"/>
          <w:sz w:val="28"/>
          <w:szCs w:val="28"/>
        </w:rPr>
        <w:t xml:space="preserve">троительстве которых были </w:t>
      </w:r>
      <w:r w:rsidRPr="0031289B">
        <w:rPr>
          <w:rFonts w:ascii="PT Astra Serif" w:hAnsi="PT Astra Serif" w:cs="PT Astra Serif"/>
          <w:sz w:val="28"/>
          <w:szCs w:val="28"/>
        </w:rPr>
        <w:t>использованы средства бюджета Томской области.</w:t>
      </w:r>
    </w:p>
    <w:p w:rsidR="0031289B" w:rsidRPr="0031289B" w:rsidRDefault="00480085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</w:t>
      </w:r>
      <w:bookmarkStart w:id="0" w:name="_GoBack"/>
      <w:bookmarkEnd w:id="0"/>
      <w:r w:rsidR="0031289B" w:rsidRPr="0031289B">
        <w:rPr>
          <w:rFonts w:ascii="PT Astra Serif" w:hAnsi="PT Astra Serif" w:cs="PT Astra Serif"/>
          <w:sz w:val="28"/>
          <w:szCs w:val="28"/>
        </w:rPr>
        <w:t>а рег</w:t>
      </w:r>
      <w:r w:rsidR="0031289B">
        <w:rPr>
          <w:rFonts w:ascii="PT Astra Serif" w:hAnsi="PT Astra Serif" w:cs="PT Astra Serif"/>
          <w:sz w:val="28"/>
          <w:szCs w:val="28"/>
        </w:rPr>
        <w:t xml:space="preserve">иональном уровне постановлением </w:t>
      </w:r>
      <w:r w:rsidR="0031289B" w:rsidRPr="0031289B">
        <w:rPr>
          <w:rFonts w:ascii="PT Astra Serif" w:hAnsi="PT Astra Serif" w:cs="PT Astra Serif"/>
          <w:sz w:val="28"/>
          <w:szCs w:val="28"/>
        </w:rPr>
        <w:t>Администрации Томской области от 16</w:t>
      </w:r>
      <w:r w:rsidR="0031289B">
        <w:rPr>
          <w:rFonts w:ascii="PT Astra Serif" w:hAnsi="PT Astra Serif" w:cs="PT Astra Serif"/>
          <w:sz w:val="28"/>
          <w:szCs w:val="28"/>
        </w:rPr>
        <w:t xml:space="preserve">.05.2023 № 234а «О региональном </w:t>
      </w:r>
      <w:r w:rsidR="0031289B" w:rsidRPr="0031289B">
        <w:rPr>
          <w:rFonts w:ascii="PT Astra Serif" w:hAnsi="PT Astra Serif" w:cs="PT Astra Serif"/>
          <w:sz w:val="28"/>
          <w:szCs w:val="28"/>
        </w:rPr>
        <w:t>реестре незавершенных объектов капитального строи</w:t>
      </w:r>
      <w:r w:rsidR="0031289B">
        <w:rPr>
          <w:rFonts w:ascii="PT Astra Serif" w:hAnsi="PT Astra Serif" w:cs="PT Astra Serif"/>
          <w:sz w:val="28"/>
          <w:szCs w:val="28"/>
        </w:rPr>
        <w:t xml:space="preserve">тельства» утверждено </w:t>
      </w:r>
      <w:r w:rsidR="0031289B" w:rsidRPr="0031289B">
        <w:rPr>
          <w:rFonts w:ascii="PT Astra Serif" w:hAnsi="PT Astra Serif" w:cs="PT Astra Serif"/>
          <w:sz w:val="28"/>
          <w:szCs w:val="28"/>
        </w:rPr>
        <w:t xml:space="preserve">положение о порядке формирования </w:t>
      </w:r>
      <w:r w:rsidR="0031289B">
        <w:rPr>
          <w:rFonts w:ascii="PT Astra Serif" w:hAnsi="PT Astra Serif" w:cs="PT Astra Serif"/>
          <w:sz w:val="28"/>
          <w:szCs w:val="28"/>
        </w:rPr>
        <w:t xml:space="preserve">и ведения регионального реестра </w:t>
      </w:r>
      <w:r w:rsidR="0031289B" w:rsidRPr="0031289B">
        <w:rPr>
          <w:rFonts w:ascii="PT Astra Serif" w:hAnsi="PT Astra Serif" w:cs="PT Astra Serif"/>
          <w:sz w:val="28"/>
          <w:szCs w:val="28"/>
        </w:rPr>
        <w:t>незавершенных объектов капитального ст</w:t>
      </w:r>
      <w:r w:rsidR="0031289B">
        <w:rPr>
          <w:rFonts w:ascii="PT Astra Serif" w:hAnsi="PT Astra Serif" w:cs="PT Astra Serif"/>
          <w:sz w:val="28"/>
          <w:szCs w:val="28"/>
        </w:rPr>
        <w:t xml:space="preserve">роительства, составе включаемых </w:t>
      </w:r>
      <w:r w:rsidR="0031289B" w:rsidRPr="0031289B">
        <w:rPr>
          <w:rFonts w:ascii="PT Astra Serif" w:hAnsi="PT Astra Serif" w:cs="PT Astra Serif"/>
          <w:sz w:val="28"/>
          <w:szCs w:val="28"/>
        </w:rPr>
        <w:t>в него сведений и порядке предост</w:t>
      </w:r>
      <w:r w:rsidR="0031289B">
        <w:rPr>
          <w:rFonts w:ascii="PT Astra Serif" w:hAnsi="PT Astra Serif" w:cs="PT Astra Serif"/>
          <w:sz w:val="28"/>
          <w:szCs w:val="28"/>
        </w:rPr>
        <w:t>авления таких сведений (далее –</w:t>
      </w:r>
      <w:r w:rsidR="0031289B" w:rsidRPr="0031289B">
        <w:rPr>
          <w:rFonts w:ascii="PT Astra Serif" w:hAnsi="PT Astra Serif" w:cs="PT Astra Serif"/>
          <w:sz w:val="28"/>
          <w:szCs w:val="28"/>
        </w:rPr>
        <w:t>Постановление).</w:t>
      </w: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Во исполнение Постановления Депа</w:t>
      </w:r>
      <w:r>
        <w:rPr>
          <w:rFonts w:ascii="PT Astra Serif" w:hAnsi="PT Astra Serif" w:cs="PT Astra Serif"/>
          <w:sz w:val="28"/>
          <w:szCs w:val="28"/>
        </w:rPr>
        <w:t xml:space="preserve">ртаментом строительства Томской </w:t>
      </w:r>
      <w:r w:rsidRPr="0031289B">
        <w:rPr>
          <w:rFonts w:ascii="PT Astra Serif" w:hAnsi="PT Astra Serif" w:cs="PT Astra Serif"/>
          <w:sz w:val="28"/>
          <w:szCs w:val="28"/>
        </w:rPr>
        <w:t>области (далее – Департамент) раз</w:t>
      </w:r>
      <w:r>
        <w:rPr>
          <w:rFonts w:ascii="PT Astra Serif" w:hAnsi="PT Astra Serif" w:cs="PT Astra Serif"/>
          <w:sz w:val="28"/>
          <w:szCs w:val="28"/>
        </w:rPr>
        <w:t xml:space="preserve">работаны и утверждены следующие </w:t>
      </w:r>
      <w:r w:rsidRPr="0031289B">
        <w:rPr>
          <w:rFonts w:ascii="PT Astra Serif" w:hAnsi="PT Astra Serif" w:cs="PT Astra Serif"/>
          <w:sz w:val="28"/>
          <w:szCs w:val="28"/>
        </w:rPr>
        <w:t>правовые акты:</w:t>
      </w: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– распоряжением Департамента</w:t>
      </w:r>
      <w:r>
        <w:rPr>
          <w:rFonts w:ascii="PT Astra Serif" w:hAnsi="PT Astra Serif" w:cs="PT Astra Serif"/>
          <w:sz w:val="28"/>
          <w:szCs w:val="28"/>
        </w:rPr>
        <w:t xml:space="preserve"> от 17.05.2023 № 107 утверждены </w:t>
      </w:r>
      <w:r w:rsidRPr="0031289B">
        <w:rPr>
          <w:rFonts w:ascii="PT Astra Serif" w:hAnsi="PT Astra Serif" w:cs="PT Astra Serif"/>
          <w:sz w:val="28"/>
          <w:szCs w:val="28"/>
        </w:rPr>
        <w:t>методические рекомендации по заполнению</w:t>
      </w:r>
      <w:r>
        <w:rPr>
          <w:rFonts w:ascii="PT Astra Serif" w:hAnsi="PT Astra Serif" w:cs="PT Astra Serif"/>
          <w:sz w:val="28"/>
          <w:szCs w:val="28"/>
        </w:rPr>
        <w:t xml:space="preserve"> формы сведений о незавершенных </w:t>
      </w:r>
      <w:r w:rsidRPr="0031289B">
        <w:rPr>
          <w:rFonts w:ascii="PT Astra Serif" w:hAnsi="PT Astra Serif" w:cs="PT Astra Serif"/>
          <w:sz w:val="28"/>
          <w:szCs w:val="28"/>
        </w:rPr>
        <w:t>объектах капитального строительства, строит</w:t>
      </w:r>
      <w:r>
        <w:rPr>
          <w:rFonts w:ascii="PT Astra Serif" w:hAnsi="PT Astra Serif" w:cs="PT Astra Serif"/>
          <w:sz w:val="28"/>
          <w:szCs w:val="28"/>
        </w:rPr>
        <w:t xml:space="preserve">ельство и реконструкция которых </w:t>
      </w:r>
      <w:r w:rsidRPr="0031289B">
        <w:rPr>
          <w:rFonts w:ascii="PT Astra Serif" w:hAnsi="PT Astra Serif" w:cs="PT Astra Serif"/>
          <w:sz w:val="28"/>
          <w:szCs w:val="28"/>
        </w:rPr>
        <w:t>осуществлялись полностью или частично за с</w:t>
      </w:r>
      <w:r>
        <w:rPr>
          <w:rFonts w:ascii="PT Astra Serif" w:hAnsi="PT Astra Serif" w:cs="PT Astra Serif"/>
          <w:sz w:val="28"/>
          <w:szCs w:val="28"/>
        </w:rPr>
        <w:t xml:space="preserve">чет средств областного бюджета, </w:t>
      </w:r>
      <w:r w:rsidRPr="0031289B">
        <w:rPr>
          <w:rFonts w:ascii="PT Astra Serif" w:hAnsi="PT Astra Serif" w:cs="PT Astra Serif"/>
          <w:sz w:val="28"/>
          <w:szCs w:val="28"/>
        </w:rPr>
        <w:t>местного бюджета;</w:t>
      </w: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– распоряжением Департамента</w:t>
      </w:r>
      <w:r>
        <w:rPr>
          <w:rFonts w:ascii="PT Astra Serif" w:hAnsi="PT Astra Serif" w:cs="PT Astra Serif"/>
          <w:sz w:val="28"/>
          <w:szCs w:val="28"/>
        </w:rPr>
        <w:t xml:space="preserve"> от 06.06.2023 № 117 утверждено </w:t>
      </w:r>
      <w:r w:rsidRPr="0031289B">
        <w:rPr>
          <w:rFonts w:ascii="PT Astra Serif" w:hAnsi="PT Astra Serif" w:cs="PT Astra Serif"/>
          <w:sz w:val="28"/>
          <w:szCs w:val="28"/>
        </w:rPr>
        <w:t>положение о Межведомственной комисси</w:t>
      </w:r>
      <w:r>
        <w:rPr>
          <w:rFonts w:ascii="PT Astra Serif" w:hAnsi="PT Astra Serif" w:cs="PT Astra Serif"/>
          <w:sz w:val="28"/>
          <w:szCs w:val="28"/>
        </w:rPr>
        <w:t xml:space="preserve">и по рассмотрению незавершенных </w:t>
      </w:r>
      <w:r w:rsidRPr="0031289B">
        <w:rPr>
          <w:rFonts w:ascii="PT Astra Serif" w:hAnsi="PT Astra Serif" w:cs="PT Astra Serif"/>
          <w:sz w:val="28"/>
          <w:szCs w:val="28"/>
        </w:rPr>
        <w:t>объектов капитального строительства.</w:t>
      </w: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На региональном уровне поста</w:t>
      </w:r>
      <w:r>
        <w:rPr>
          <w:rFonts w:ascii="PT Astra Serif" w:hAnsi="PT Astra Serif" w:cs="PT Astra Serif"/>
          <w:sz w:val="28"/>
          <w:szCs w:val="28"/>
        </w:rPr>
        <w:t xml:space="preserve">новлением Администрации Томской </w:t>
      </w:r>
      <w:r w:rsidRPr="0031289B">
        <w:rPr>
          <w:rFonts w:ascii="PT Astra Serif" w:hAnsi="PT Astra Serif" w:cs="PT Astra Serif"/>
          <w:sz w:val="28"/>
          <w:szCs w:val="28"/>
        </w:rPr>
        <w:t>области от 14.02.2024 № 38 «О порядке п</w:t>
      </w:r>
      <w:r>
        <w:rPr>
          <w:rFonts w:ascii="PT Astra Serif" w:hAnsi="PT Astra Serif" w:cs="PT Astra Serif"/>
          <w:sz w:val="28"/>
          <w:szCs w:val="28"/>
        </w:rPr>
        <w:t xml:space="preserve">ринятия управленческих решений, </w:t>
      </w:r>
      <w:r w:rsidRPr="0031289B">
        <w:rPr>
          <w:rFonts w:ascii="PT Astra Serif" w:hAnsi="PT Astra Serif" w:cs="PT Astra Serif"/>
          <w:sz w:val="28"/>
          <w:szCs w:val="28"/>
        </w:rPr>
        <w:t>внесения в них изменений в отношении неза</w:t>
      </w:r>
      <w:r>
        <w:rPr>
          <w:rFonts w:ascii="PT Astra Serif" w:hAnsi="PT Astra Serif" w:cs="PT Astra Serif"/>
          <w:sz w:val="28"/>
          <w:szCs w:val="28"/>
        </w:rPr>
        <w:t xml:space="preserve">вершенных объектов капитального </w:t>
      </w:r>
      <w:r w:rsidRPr="0031289B">
        <w:rPr>
          <w:rFonts w:ascii="PT Astra Serif" w:hAnsi="PT Astra Serif" w:cs="PT Astra Serif"/>
          <w:sz w:val="28"/>
          <w:szCs w:val="28"/>
        </w:rPr>
        <w:t>строительства, включенных в региональны</w:t>
      </w:r>
      <w:r>
        <w:rPr>
          <w:rFonts w:ascii="PT Astra Serif" w:hAnsi="PT Astra Serif" w:cs="PT Astra Serif"/>
          <w:sz w:val="28"/>
          <w:szCs w:val="28"/>
        </w:rPr>
        <w:t xml:space="preserve">й реестр незавершенных объектов </w:t>
      </w:r>
      <w:r w:rsidRPr="0031289B">
        <w:rPr>
          <w:rFonts w:ascii="PT Astra Serif" w:hAnsi="PT Astra Serif" w:cs="PT Astra Serif"/>
          <w:sz w:val="28"/>
          <w:szCs w:val="28"/>
        </w:rPr>
        <w:t xml:space="preserve">капитального строительства» утвержден </w:t>
      </w:r>
      <w:r>
        <w:rPr>
          <w:rFonts w:ascii="PT Astra Serif" w:hAnsi="PT Astra Serif" w:cs="PT Astra Serif"/>
          <w:sz w:val="28"/>
          <w:szCs w:val="28"/>
        </w:rPr>
        <w:t xml:space="preserve">порядок принятия управленческих </w:t>
      </w:r>
      <w:r w:rsidRPr="0031289B">
        <w:rPr>
          <w:rFonts w:ascii="PT Astra Serif" w:hAnsi="PT Astra Serif" w:cs="PT Astra Serif"/>
          <w:sz w:val="28"/>
          <w:szCs w:val="28"/>
        </w:rPr>
        <w:t>решений, внесения в них изменений в отношении незавершенных объектов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1289B">
        <w:rPr>
          <w:rFonts w:ascii="PT Astra Serif" w:hAnsi="PT Astra Serif" w:cs="PT Astra Serif"/>
          <w:sz w:val="28"/>
          <w:szCs w:val="28"/>
        </w:rPr>
        <w:t>капитального строительства, в</w:t>
      </w:r>
      <w:r>
        <w:rPr>
          <w:rFonts w:ascii="PT Astra Serif" w:hAnsi="PT Astra Serif" w:cs="PT Astra Serif"/>
          <w:sz w:val="28"/>
          <w:szCs w:val="28"/>
        </w:rPr>
        <w:t xml:space="preserve">ключенных в региональный реестр </w:t>
      </w:r>
      <w:r w:rsidRPr="0031289B">
        <w:rPr>
          <w:rFonts w:ascii="PT Astra Serif" w:hAnsi="PT Astra Serif" w:cs="PT Astra Serif"/>
          <w:sz w:val="28"/>
          <w:szCs w:val="28"/>
        </w:rPr>
        <w:t>незавершенных объектов капитального строительства (далее – Порядок).</w:t>
      </w:r>
    </w:p>
    <w:p w:rsid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В соответствии с принятым Порядком</w:t>
      </w:r>
      <w:r>
        <w:rPr>
          <w:rFonts w:ascii="PT Astra Serif" w:hAnsi="PT Astra Serif" w:cs="PT Astra Serif"/>
          <w:sz w:val="28"/>
          <w:szCs w:val="28"/>
        </w:rPr>
        <w:t xml:space="preserve"> в региональный реестр объектов </w:t>
      </w:r>
      <w:r w:rsidRPr="0031289B">
        <w:rPr>
          <w:rFonts w:ascii="PT Astra Serif" w:hAnsi="PT Astra Serif" w:cs="PT Astra Serif"/>
          <w:sz w:val="28"/>
          <w:szCs w:val="28"/>
        </w:rPr>
        <w:t>незавершенного строительства Протоко</w:t>
      </w:r>
      <w:r>
        <w:rPr>
          <w:rFonts w:ascii="PT Astra Serif" w:hAnsi="PT Astra Serif" w:cs="PT Astra Serif"/>
          <w:sz w:val="28"/>
          <w:szCs w:val="28"/>
        </w:rPr>
        <w:t xml:space="preserve">лом от 19.12.2024 № 1 заседания </w:t>
      </w:r>
      <w:r w:rsidRPr="0031289B">
        <w:rPr>
          <w:rFonts w:ascii="PT Astra Serif" w:hAnsi="PT Astra Serif" w:cs="PT Astra Serif"/>
          <w:sz w:val="28"/>
          <w:szCs w:val="28"/>
        </w:rPr>
        <w:lastRenderedPageBreak/>
        <w:t>Межведомственной комиссии в о</w:t>
      </w:r>
      <w:r>
        <w:rPr>
          <w:rFonts w:ascii="PT Astra Serif" w:hAnsi="PT Astra Serif" w:cs="PT Astra Serif"/>
          <w:sz w:val="28"/>
          <w:szCs w:val="28"/>
        </w:rPr>
        <w:t xml:space="preserve">тношении незавершенных объектов </w:t>
      </w:r>
      <w:r w:rsidRPr="0031289B">
        <w:rPr>
          <w:rFonts w:ascii="PT Astra Serif" w:hAnsi="PT Astra Serif" w:cs="PT Astra Serif"/>
          <w:sz w:val="28"/>
          <w:szCs w:val="28"/>
        </w:rPr>
        <w:t>капитального строи</w:t>
      </w:r>
      <w:r>
        <w:rPr>
          <w:rFonts w:ascii="PT Astra Serif" w:hAnsi="PT Astra Serif" w:cs="PT Astra Serif"/>
          <w:sz w:val="28"/>
          <w:szCs w:val="28"/>
        </w:rPr>
        <w:t xml:space="preserve">тельства включены 120 объектов. </w:t>
      </w:r>
    </w:p>
    <w:p w:rsidR="0031289B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В настоящее время балансодержатели</w:t>
      </w:r>
      <w:r>
        <w:rPr>
          <w:rFonts w:ascii="PT Astra Serif" w:hAnsi="PT Astra Serif" w:cs="PT Astra Serif"/>
          <w:sz w:val="28"/>
          <w:szCs w:val="28"/>
        </w:rPr>
        <w:t xml:space="preserve"> (исполнительные органы Томской </w:t>
      </w:r>
      <w:r w:rsidRPr="0031289B">
        <w:rPr>
          <w:rFonts w:ascii="PT Astra Serif" w:hAnsi="PT Astra Serif" w:cs="PT Astra Serif"/>
          <w:sz w:val="28"/>
          <w:szCs w:val="28"/>
        </w:rPr>
        <w:t>области, муниципальные образования) объектов</w:t>
      </w:r>
      <w:r>
        <w:rPr>
          <w:rFonts w:ascii="PT Astra Serif" w:hAnsi="PT Astra Serif" w:cs="PT Astra Serif"/>
          <w:sz w:val="28"/>
          <w:szCs w:val="28"/>
        </w:rPr>
        <w:t xml:space="preserve"> незавершенного строительства </w:t>
      </w:r>
      <w:r w:rsidRPr="0031289B">
        <w:rPr>
          <w:rFonts w:ascii="PT Astra Serif" w:hAnsi="PT Astra Serif" w:cs="PT Astra Serif"/>
          <w:sz w:val="28"/>
          <w:szCs w:val="28"/>
        </w:rPr>
        <w:t>осуществляют подготовку предложений в о</w:t>
      </w:r>
      <w:r>
        <w:rPr>
          <w:rFonts w:ascii="PT Astra Serif" w:hAnsi="PT Astra Serif" w:cs="PT Astra Serif"/>
          <w:sz w:val="28"/>
          <w:szCs w:val="28"/>
        </w:rPr>
        <w:t xml:space="preserve">тношении незавершенных объектов </w:t>
      </w:r>
      <w:r w:rsidRPr="0031289B">
        <w:rPr>
          <w:rFonts w:ascii="PT Astra Serif" w:hAnsi="PT Astra Serif" w:cs="PT Astra Serif"/>
          <w:sz w:val="28"/>
          <w:szCs w:val="28"/>
        </w:rPr>
        <w:t>капитального строительства и принятия</w:t>
      </w:r>
      <w:r>
        <w:rPr>
          <w:rFonts w:ascii="PT Astra Serif" w:hAnsi="PT Astra Serif" w:cs="PT Astra Serif"/>
          <w:sz w:val="28"/>
          <w:szCs w:val="28"/>
        </w:rPr>
        <w:t xml:space="preserve"> по ним управленческого решения </w:t>
      </w:r>
      <w:r w:rsidRPr="0031289B">
        <w:rPr>
          <w:rFonts w:ascii="PT Astra Serif" w:hAnsi="PT Astra Serif" w:cs="PT Astra Serif"/>
          <w:sz w:val="28"/>
          <w:szCs w:val="28"/>
        </w:rPr>
        <w:t>о завершении строительства (реконст</w:t>
      </w:r>
      <w:r>
        <w:rPr>
          <w:rFonts w:ascii="PT Astra Serif" w:hAnsi="PT Astra Serif" w:cs="PT Astra Serif"/>
          <w:sz w:val="28"/>
          <w:szCs w:val="28"/>
        </w:rPr>
        <w:t xml:space="preserve">рукции) и вводе в эксплуатацию, </w:t>
      </w:r>
      <w:r w:rsidRPr="0031289B">
        <w:rPr>
          <w:rFonts w:ascii="PT Astra Serif" w:hAnsi="PT Astra Serif" w:cs="PT Astra Serif"/>
          <w:sz w:val="28"/>
          <w:szCs w:val="28"/>
        </w:rPr>
        <w:t>приватизации (отчуждении), сносе в соответствии с Порядком.</w:t>
      </w:r>
    </w:p>
    <w:p w:rsidR="00844C61" w:rsidRPr="0031289B" w:rsidRDefault="0031289B" w:rsidP="0048008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1289B">
        <w:rPr>
          <w:rFonts w:ascii="PT Astra Serif" w:hAnsi="PT Astra Serif" w:cs="PT Astra Serif"/>
          <w:sz w:val="28"/>
          <w:szCs w:val="28"/>
        </w:rPr>
        <w:t>Работа в данном направлении будет продолжена.</w:t>
      </w:r>
    </w:p>
    <w:sectPr w:rsidR="00844C61" w:rsidRPr="0031289B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480085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1289B"/>
    <w:rsid w:val="003948CE"/>
    <w:rsid w:val="003B674B"/>
    <w:rsid w:val="003F3BE4"/>
    <w:rsid w:val="00480085"/>
    <w:rsid w:val="004E4768"/>
    <w:rsid w:val="00501372"/>
    <w:rsid w:val="006260FE"/>
    <w:rsid w:val="0064466A"/>
    <w:rsid w:val="007208BA"/>
    <w:rsid w:val="007A4321"/>
    <w:rsid w:val="007E6401"/>
    <w:rsid w:val="00844C61"/>
    <w:rsid w:val="008854D2"/>
    <w:rsid w:val="008A689A"/>
    <w:rsid w:val="008E1E5B"/>
    <w:rsid w:val="008F6900"/>
    <w:rsid w:val="009028F6"/>
    <w:rsid w:val="00981B1F"/>
    <w:rsid w:val="00A437EE"/>
    <w:rsid w:val="00AE7393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uiPriority w:val="99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35</cp:revision>
  <dcterms:created xsi:type="dcterms:W3CDTF">2024-02-22T08:33:00Z</dcterms:created>
  <dcterms:modified xsi:type="dcterms:W3CDTF">2025-08-19T06:38:00Z</dcterms:modified>
</cp:coreProperties>
</file>